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5D6" w:rsidRDefault="00592F36" w:rsidP="004A1591">
      <w:pPr>
        <w:pStyle w:val="1"/>
        <w:numPr>
          <w:ilvl w:val="0"/>
          <w:numId w:val="0"/>
        </w:numPr>
      </w:pPr>
      <w:r>
        <w:t xml:space="preserve">ТЕМА </w:t>
      </w:r>
      <w:r w:rsidR="004A1591">
        <w:t>1</w:t>
      </w:r>
      <w:r w:rsidR="00C37FA7">
        <w:t xml:space="preserve">2 </w:t>
      </w:r>
      <w:r w:rsidR="00716792">
        <w:t>ВЫБОР АЛЬТЕРНАТИВ</w:t>
      </w:r>
    </w:p>
    <w:p w:rsidR="008955D6" w:rsidRPr="008955D6" w:rsidRDefault="008955D6" w:rsidP="008955D6">
      <w:pPr>
        <w:rPr>
          <w:lang w:eastAsia="ru-RU"/>
        </w:rPr>
      </w:pPr>
    </w:p>
    <w:p w:rsidR="00716792" w:rsidRDefault="004A1591" w:rsidP="008955D6">
      <w:pPr>
        <w:pStyle w:val="2"/>
        <w:keepNext w:val="0"/>
        <w:numPr>
          <w:ilvl w:val="0"/>
          <w:numId w:val="0"/>
        </w:numPr>
        <w:ind w:firstLine="567"/>
        <w:jc w:val="both"/>
      </w:pPr>
      <w:bookmarkStart w:id="0" w:name="_Toc442721650"/>
      <w:r>
        <w:t>1</w:t>
      </w:r>
      <w:r w:rsidR="00C37FA7">
        <w:t>2</w:t>
      </w:r>
      <w:r w:rsidR="00716792">
        <w:t>.1 Метод анализа иерархии</w:t>
      </w:r>
    </w:p>
    <w:p w:rsidR="008955D6" w:rsidRPr="008955D6" w:rsidRDefault="004A1591" w:rsidP="008955D6">
      <w:pPr>
        <w:pStyle w:val="2"/>
        <w:keepNext w:val="0"/>
        <w:numPr>
          <w:ilvl w:val="0"/>
          <w:numId w:val="0"/>
        </w:numPr>
        <w:ind w:firstLine="567"/>
        <w:jc w:val="both"/>
        <w:rPr>
          <w:b w:val="0"/>
        </w:rPr>
      </w:pPr>
      <w:r>
        <w:t>1</w:t>
      </w:r>
      <w:r w:rsidR="00C37FA7">
        <w:t>2</w:t>
      </w:r>
      <w:r w:rsidR="008955D6" w:rsidRPr="008955D6">
        <w:t>.1</w:t>
      </w:r>
      <w:r w:rsidR="00716792">
        <w:t>.1</w:t>
      </w:r>
      <w:r w:rsidR="008955D6" w:rsidRPr="008955D6">
        <w:t xml:space="preserve">  Общее описание</w:t>
      </w:r>
      <w:bookmarkEnd w:id="0"/>
    </w:p>
    <w:p w:rsidR="008955D6" w:rsidRPr="008955D6" w:rsidRDefault="008955D6" w:rsidP="008955D6">
      <w:pPr>
        <w:widowControl w:val="0"/>
        <w:tabs>
          <w:tab w:val="left" w:pos="4678"/>
        </w:tabs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i/>
          <w:snapToGrid w:val="0"/>
          <w:szCs w:val="28"/>
        </w:rPr>
        <w:t xml:space="preserve">Цель </w:t>
      </w:r>
      <w:r w:rsidRPr="008955D6">
        <w:rPr>
          <w:rFonts w:cs="Times New Roman"/>
          <w:snapToGrid w:val="0"/>
          <w:szCs w:val="28"/>
        </w:rPr>
        <w:t xml:space="preserve">метода анализа иерархий </w:t>
      </w: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обоснование выбора наилучшей из предлагаемых альтернатив, характеристики которых являются  векторами с разнородными, в том числе и с нечетко определенными, отдельными компонентами.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i/>
          <w:snapToGrid w:val="0"/>
          <w:szCs w:val="28"/>
        </w:rPr>
        <w:t xml:space="preserve">Суть </w:t>
      </w:r>
      <w:r w:rsidRPr="008955D6">
        <w:rPr>
          <w:rFonts w:cs="Times New Roman"/>
          <w:snapToGrid w:val="0"/>
          <w:szCs w:val="28"/>
        </w:rPr>
        <w:t>метода анализа иерархий заключается в поэтапном решении следующих взаимосвязанных частных задач: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построение иерархической структуры показателей (признаков);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оценивание значимости отдельных частных показателей для каждого уровня иерархии;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сравнение имеющихся альтернатив и выбор наилучшей из них.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В результате должна быть выражена относительная степень (интенсивность) взаимодействия элементов в иерархии. Метод анализа иерархии включает процедуры синтеза множественных суждений, базирующихся на результатах парных сравнений, которые затем выра</w:t>
      </w:r>
      <w:bookmarkStart w:id="1" w:name="OCRUncertain026"/>
      <w:r w:rsidRPr="008955D6">
        <w:rPr>
          <w:rFonts w:cs="Times New Roman"/>
          <w:snapToGrid w:val="0"/>
          <w:szCs w:val="28"/>
        </w:rPr>
        <w:t>ж</w:t>
      </w:r>
      <w:bookmarkEnd w:id="1"/>
      <w:r w:rsidRPr="008955D6">
        <w:rPr>
          <w:rFonts w:cs="Times New Roman"/>
          <w:snapToGrid w:val="0"/>
          <w:szCs w:val="28"/>
        </w:rPr>
        <w:t xml:space="preserve">аются численно, оценки приоритетности (важности) критериев (отдельных показателей), а также оценки альтернативных решений и нахождения наилучшего из них. Полученные результирующие значения являются оценками в шкале отношений, что соответствует жестким оценкам. 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Исходным материалом, на основании которого ЛПР может получить достаточное, четкое и ясное представление о превосходстве одного элемента над другим, являются интуиция и субъективные оценки, несмотря на то, что суждения и их интенсивность характеризуют выражение внутренних чувств и склонностей конкретных экспертов.. Суждения расширяют рамки общения, укрупняя элементы, имеющиеся на определенном уровне иерархии.</w:t>
      </w:r>
    </w:p>
    <w:p w:rsid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Изложенное дает представление об основных принципах метода анализа иерархий. Подробнее эти принципы будут изложены в дальнейшем, при детальном рассмотрении процедур. 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</w:p>
    <w:p w:rsidR="008955D6" w:rsidRPr="008955D6" w:rsidRDefault="004A1591" w:rsidP="008955D6">
      <w:pPr>
        <w:pStyle w:val="2"/>
        <w:keepNext w:val="0"/>
        <w:numPr>
          <w:ilvl w:val="0"/>
          <w:numId w:val="0"/>
        </w:numPr>
        <w:ind w:left="567"/>
        <w:jc w:val="both"/>
        <w:rPr>
          <w:snapToGrid w:val="0"/>
        </w:rPr>
      </w:pPr>
      <w:bookmarkStart w:id="2" w:name="_Toc442721652"/>
      <w:r>
        <w:rPr>
          <w:snapToGrid w:val="0"/>
        </w:rPr>
        <w:t>1</w:t>
      </w:r>
      <w:r w:rsidR="00C37FA7">
        <w:rPr>
          <w:snapToGrid w:val="0"/>
        </w:rPr>
        <w:t>2</w:t>
      </w:r>
      <w:bookmarkStart w:id="3" w:name="_GoBack"/>
      <w:bookmarkEnd w:id="3"/>
      <w:r w:rsidR="00716792">
        <w:rPr>
          <w:snapToGrid w:val="0"/>
        </w:rPr>
        <w:t>.1.</w:t>
      </w:r>
      <w:r w:rsidR="008955D6" w:rsidRPr="008955D6">
        <w:rPr>
          <w:snapToGrid w:val="0"/>
        </w:rPr>
        <w:t>2 Основные этапы метода анализа иерархий</w:t>
      </w:r>
      <w:bookmarkEnd w:id="2"/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Метод анализа иерархий включает следующие основные этапы, значимость которых различна для разных задач и ситуаций.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1. Описание проблемы и определение цели исследований.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2. Построение иерархии, начиная с вершины (цели </w:t>
      </w: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с точки зрения управления), через промежуточные уровни (критерии, от которых зависят последующие уровни), к самому нижнему уровню (который обычно является перечнем альтернатив).</w:t>
      </w:r>
    </w:p>
    <w:p w:rsidR="008955D6" w:rsidRPr="008955D6" w:rsidRDefault="008955D6" w:rsidP="008955D6">
      <w:pPr>
        <w:pStyle w:val="af0"/>
        <w:widowControl w:val="0"/>
        <w:spacing w:after="0"/>
        <w:ind w:left="0" w:firstLine="567"/>
        <w:jc w:val="both"/>
        <w:rPr>
          <w:rFonts w:cs="Times New Roman"/>
          <w:szCs w:val="28"/>
        </w:rPr>
      </w:pPr>
      <w:r w:rsidRPr="008955D6">
        <w:rPr>
          <w:rFonts w:cs="Times New Roman"/>
          <w:szCs w:val="28"/>
        </w:rPr>
        <w:t xml:space="preserve">3. Построение матриц влияния элементов верхнего (предыдущего) уровня на элементы нижнего (следующего) уровня (для каждого из нижних уровней) </w:t>
      </w:r>
      <w:r w:rsidRPr="008955D6">
        <w:rPr>
          <w:rFonts w:cs="Times New Roman"/>
          <w:snapToGrid w:val="0"/>
          <w:szCs w:val="28"/>
        </w:rPr>
        <w:sym w:font="Symbol" w:char="F02D"/>
      </w:r>
      <w:r w:rsidRPr="008955D6">
        <w:rPr>
          <w:rFonts w:cs="Times New Roman"/>
          <w:szCs w:val="28"/>
        </w:rPr>
        <w:t xml:space="preserve"> по одной матрице для каждого элемента, примыкающего сверху уровня. В полной простой иерархии </w:t>
      </w:r>
      <w:bookmarkStart w:id="4" w:name="OCRUncertain529"/>
      <w:r w:rsidRPr="008955D6">
        <w:rPr>
          <w:rFonts w:cs="Times New Roman"/>
          <w:szCs w:val="28"/>
        </w:rPr>
        <w:t>любой</w:t>
      </w:r>
      <w:bookmarkEnd w:id="4"/>
      <w:r w:rsidRPr="008955D6">
        <w:rPr>
          <w:rFonts w:cs="Times New Roman"/>
          <w:szCs w:val="28"/>
        </w:rPr>
        <w:t xml:space="preserve"> элемент воздействует на каждый элемент примыкающего сверху уровня. Элементы каждого уровня сравниваются друг с другом относительно степени их воздействия на элемент предыдущего уровня и получают квадратную </w:t>
      </w:r>
      <w:r w:rsidRPr="008955D6">
        <w:rPr>
          <w:rFonts w:cs="Times New Roman"/>
          <w:szCs w:val="28"/>
        </w:rPr>
        <w:lastRenderedPageBreak/>
        <w:t xml:space="preserve">матрицу суждений. </w:t>
      </w:r>
      <w:bookmarkStart w:id="5" w:name="OCRUncertain530"/>
      <w:r w:rsidRPr="008955D6">
        <w:rPr>
          <w:rFonts w:cs="Times New Roman"/>
          <w:szCs w:val="28"/>
        </w:rPr>
        <w:t xml:space="preserve">Реальные иерархические структуры весьма редко бывают полными простыми иерархиями и их, в ряде случаев, целесообразно декомпозировать на подуровни. </w:t>
      </w:r>
    </w:p>
    <w:p w:rsidR="008955D6" w:rsidRPr="008955D6" w:rsidRDefault="008955D6" w:rsidP="008955D6">
      <w:pPr>
        <w:pStyle w:val="af0"/>
        <w:widowControl w:val="0"/>
        <w:spacing w:after="0"/>
        <w:ind w:left="0" w:firstLine="567"/>
        <w:jc w:val="both"/>
        <w:rPr>
          <w:rFonts w:cs="Times New Roman"/>
          <w:szCs w:val="28"/>
        </w:rPr>
      </w:pPr>
      <w:r w:rsidRPr="008955D6">
        <w:rPr>
          <w:rFonts w:cs="Times New Roman"/>
          <w:szCs w:val="28"/>
        </w:rPr>
        <w:t>Парные</w:t>
      </w:r>
      <w:bookmarkEnd w:id="5"/>
      <w:r w:rsidRPr="008955D6">
        <w:rPr>
          <w:rFonts w:cs="Times New Roman"/>
          <w:szCs w:val="28"/>
        </w:rPr>
        <w:t xml:space="preserve"> сравнения проводятся в терминах определения степеней доминирования (предпочтения) одного из элементов над другим, которые затем выражаются в целых числах (табл. 3.1 для величин суждений). Если элемент А доминирует над элементом Б, то клетка, соответствующая строке А и столбцу Б, заполняется целым числом, а клетка, соответствующая строке Б и столбцу А, </w:t>
      </w:r>
      <w:bookmarkStart w:id="6" w:name="OCRUncertain531"/>
      <w:r w:rsidRPr="008955D6">
        <w:rPr>
          <w:rFonts w:cs="Times New Roman"/>
          <w:szCs w:val="28"/>
        </w:rPr>
        <w:t>з</w:t>
      </w:r>
      <w:bookmarkEnd w:id="6"/>
      <w:r w:rsidRPr="008955D6">
        <w:rPr>
          <w:rFonts w:cs="Times New Roman"/>
          <w:szCs w:val="28"/>
        </w:rPr>
        <w:t>аполняется обратным к нему числом (дробью). Если элемент Б доминирует над элементом А, то происходит обратное. Если считается, что элементы А и Б одинаковы, то в обе позиции ставится единица.</w:t>
      </w:r>
    </w:p>
    <w:p w:rsidR="008955D6" w:rsidRPr="008955D6" w:rsidRDefault="008955D6" w:rsidP="008955D6">
      <w:pPr>
        <w:pStyle w:val="11"/>
        <w:ind w:firstLine="567"/>
        <w:jc w:val="both"/>
        <w:rPr>
          <w:sz w:val="28"/>
          <w:szCs w:val="28"/>
        </w:rPr>
      </w:pPr>
      <w:r w:rsidRPr="008955D6">
        <w:rPr>
          <w:sz w:val="28"/>
          <w:szCs w:val="28"/>
        </w:rPr>
        <w:t>4. На этапе 3 для получения каждой матрицы т</w:t>
      </w:r>
      <w:bookmarkStart w:id="7" w:name="OCRUncertain532"/>
      <w:r w:rsidRPr="008955D6">
        <w:rPr>
          <w:sz w:val="28"/>
          <w:szCs w:val="28"/>
        </w:rPr>
        <w:t>р</w:t>
      </w:r>
      <w:bookmarkEnd w:id="7"/>
      <w:r w:rsidRPr="008955D6">
        <w:rPr>
          <w:sz w:val="28"/>
          <w:szCs w:val="28"/>
        </w:rPr>
        <w:t xml:space="preserve">ебуется </w:t>
      </w:r>
      <w:bookmarkStart w:id="8" w:name="OCRUncertain533"/>
      <w:r w:rsidRPr="008955D6">
        <w:rPr>
          <w:i/>
          <w:sz w:val="28"/>
          <w:szCs w:val="28"/>
        </w:rPr>
        <w:t>n</w:t>
      </w:r>
      <w:r w:rsidRPr="008955D6">
        <w:rPr>
          <w:sz w:val="28"/>
          <w:szCs w:val="28"/>
        </w:rPr>
        <w:t>(</w:t>
      </w:r>
      <w:bookmarkEnd w:id="8"/>
      <w:r w:rsidRPr="008955D6">
        <w:rPr>
          <w:i/>
          <w:sz w:val="28"/>
          <w:szCs w:val="28"/>
        </w:rPr>
        <w:t>n</w:t>
      </w:r>
      <w:r w:rsidRPr="008955D6">
        <w:rPr>
          <w:i/>
          <w:sz w:val="28"/>
          <w:szCs w:val="28"/>
        </w:rPr>
        <w:sym w:font="Symbol" w:char="F02D"/>
      </w:r>
      <w:r w:rsidRPr="008955D6">
        <w:rPr>
          <w:sz w:val="28"/>
          <w:szCs w:val="28"/>
        </w:rPr>
        <w:t xml:space="preserve">1)/2 суждений (парных сравнений). Результатом этапа 3 (сравнения значимости влияния элементов следующего уровня на элементы предыдущего уровня) является набор квадратных матриц </w:t>
      </w:r>
      <w:r w:rsidRPr="008955D6">
        <w:rPr>
          <w:i/>
          <w:sz w:val="28"/>
          <w:szCs w:val="28"/>
          <w:lang w:val="en-US"/>
        </w:rPr>
        <w:t>N</w:t>
      </w:r>
      <w:r w:rsidRPr="008955D6">
        <w:rPr>
          <w:sz w:val="28"/>
          <w:szCs w:val="28"/>
          <w:vertAlign w:val="subscript"/>
        </w:rPr>
        <w:t>1</w:t>
      </w:r>
      <w:r w:rsidRPr="008955D6">
        <w:rPr>
          <w:sz w:val="28"/>
          <w:szCs w:val="28"/>
        </w:rPr>
        <w:t xml:space="preserve">, </w:t>
      </w:r>
      <w:r w:rsidRPr="008955D6">
        <w:rPr>
          <w:i/>
          <w:sz w:val="28"/>
          <w:szCs w:val="28"/>
          <w:lang w:val="en-US"/>
        </w:rPr>
        <w:t>N</w:t>
      </w:r>
      <w:r w:rsidRPr="008955D6">
        <w:rPr>
          <w:sz w:val="28"/>
          <w:szCs w:val="28"/>
          <w:vertAlign w:val="subscript"/>
        </w:rPr>
        <w:t>2</w:t>
      </w:r>
      <w:r w:rsidRPr="008955D6">
        <w:rPr>
          <w:sz w:val="28"/>
          <w:szCs w:val="28"/>
        </w:rPr>
        <w:t xml:space="preserve">,    , </w:t>
      </w:r>
      <w:r w:rsidRPr="008955D6">
        <w:rPr>
          <w:i/>
          <w:sz w:val="28"/>
          <w:szCs w:val="28"/>
          <w:lang w:val="en-US"/>
        </w:rPr>
        <w:t>N</w:t>
      </w:r>
      <w:r w:rsidRPr="008955D6">
        <w:rPr>
          <w:i/>
          <w:sz w:val="28"/>
          <w:szCs w:val="28"/>
          <w:vertAlign w:val="subscript"/>
          <w:lang w:val="en-US"/>
        </w:rPr>
        <w:t>k</w:t>
      </w:r>
      <w:r w:rsidRPr="008955D6">
        <w:rPr>
          <w:sz w:val="28"/>
          <w:szCs w:val="28"/>
        </w:rPr>
        <w:t xml:space="preserve"> с элементами (</w:t>
      </w:r>
      <w:r w:rsidRPr="008955D6">
        <w:rPr>
          <w:i/>
          <w:sz w:val="28"/>
          <w:szCs w:val="28"/>
          <w:lang w:val="en-US"/>
        </w:rPr>
        <w:t>a</w:t>
      </w:r>
      <w:r w:rsidRPr="008955D6">
        <w:rPr>
          <w:i/>
          <w:sz w:val="28"/>
          <w:szCs w:val="28"/>
          <w:vertAlign w:val="subscript"/>
        </w:rPr>
        <w:t>ij</w:t>
      </w:r>
      <w:r w:rsidRPr="008955D6">
        <w:rPr>
          <w:sz w:val="28"/>
          <w:szCs w:val="28"/>
          <w:vertAlign w:val="subscript"/>
        </w:rPr>
        <w:t>,</w:t>
      </w:r>
      <w:r w:rsidRPr="008955D6">
        <w:rPr>
          <w:i/>
          <w:sz w:val="28"/>
          <w:szCs w:val="28"/>
        </w:rPr>
        <w:t xml:space="preserve"> </w:t>
      </w:r>
      <w:r w:rsidRPr="008955D6">
        <w:rPr>
          <w:i/>
          <w:sz w:val="28"/>
          <w:szCs w:val="28"/>
          <w:vertAlign w:val="subscript"/>
        </w:rPr>
        <w:t xml:space="preserve"> </w:t>
      </w:r>
      <w:r w:rsidRPr="008955D6">
        <w:rPr>
          <w:i/>
          <w:sz w:val="28"/>
          <w:szCs w:val="28"/>
          <w:lang w:val="en-US"/>
        </w:rPr>
        <w:t>i</w:t>
      </w:r>
      <w:r w:rsidRPr="008955D6">
        <w:rPr>
          <w:i/>
          <w:sz w:val="28"/>
          <w:szCs w:val="28"/>
        </w:rPr>
        <w:t xml:space="preserve">, </w:t>
      </w:r>
      <w:r w:rsidRPr="008955D6">
        <w:rPr>
          <w:i/>
          <w:sz w:val="28"/>
          <w:szCs w:val="28"/>
          <w:lang w:val="en-US"/>
        </w:rPr>
        <w:t>j</w:t>
      </w:r>
      <w:r w:rsidRPr="008955D6">
        <w:rPr>
          <w:i/>
          <w:sz w:val="28"/>
          <w:szCs w:val="28"/>
        </w:rPr>
        <w:t xml:space="preserve"> = </w:t>
      </w:r>
      <w:r w:rsidRPr="008955D6">
        <w:rPr>
          <w:sz w:val="28"/>
          <w:szCs w:val="28"/>
        </w:rPr>
        <w:t xml:space="preserve">1, 2,…, </w:t>
      </w:r>
      <w:r w:rsidRPr="008955D6">
        <w:rPr>
          <w:i/>
          <w:sz w:val="28"/>
          <w:szCs w:val="28"/>
          <w:lang w:val="en-US"/>
        </w:rPr>
        <w:t>n</w:t>
      </w:r>
      <w:r w:rsidRPr="008955D6">
        <w:rPr>
          <w:sz w:val="28"/>
          <w:szCs w:val="28"/>
        </w:rPr>
        <w:t xml:space="preserve">), где </w:t>
      </w:r>
      <w:r w:rsidRPr="008955D6">
        <w:rPr>
          <w:i/>
          <w:sz w:val="28"/>
          <w:szCs w:val="28"/>
          <w:lang w:val="en-US"/>
        </w:rPr>
        <w:t>k</w:t>
      </w:r>
      <w:r w:rsidRPr="008955D6">
        <w:rPr>
          <w:sz w:val="28"/>
          <w:szCs w:val="28"/>
        </w:rPr>
        <w:t xml:space="preserve"> </w:t>
      </w:r>
      <w:r w:rsidRPr="008955D6">
        <w:rPr>
          <w:sz w:val="28"/>
          <w:szCs w:val="28"/>
          <w:lang w:val="en-US"/>
        </w:rPr>
        <w:sym w:font="Symbol" w:char="F02D"/>
      </w:r>
      <w:r w:rsidRPr="008955D6">
        <w:rPr>
          <w:sz w:val="28"/>
          <w:szCs w:val="28"/>
        </w:rPr>
        <w:t xml:space="preserve"> число элементов предыдущего уровня иерархии, </w:t>
      </w:r>
      <w:r w:rsidRPr="008955D6">
        <w:rPr>
          <w:i/>
          <w:sz w:val="28"/>
          <w:szCs w:val="28"/>
          <w:lang w:val="en-US"/>
        </w:rPr>
        <w:t>n</w:t>
      </w:r>
      <w:r w:rsidRPr="008955D6">
        <w:rPr>
          <w:sz w:val="28"/>
          <w:szCs w:val="28"/>
        </w:rPr>
        <w:t xml:space="preserve"> </w:t>
      </w:r>
      <w:r w:rsidRPr="008955D6">
        <w:rPr>
          <w:sz w:val="28"/>
          <w:szCs w:val="28"/>
          <w:lang w:val="en-US"/>
        </w:rPr>
        <w:sym w:font="Symbol" w:char="F02D"/>
      </w:r>
      <w:r w:rsidRPr="008955D6">
        <w:rPr>
          <w:sz w:val="28"/>
          <w:szCs w:val="28"/>
        </w:rPr>
        <w:t xml:space="preserve"> число элементов следующего уровня иерархии. Если иерархическая структура не является полной простой иерархией, то возможно уменьшение количества сравнений, т. е. упрощение процесса получения результатов парных сравнений.</w:t>
      </w:r>
    </w:p>
    <w:p w:rsidR="008955D6" w:rsidRDefault="008955D6" w:rsidP="008955D6">
      <w:pPr>
        <w:pStyle w:val="4"/>
        <w:keepNext w:val="0"/>
        <w:widowControl w:val="0"/>
        <w:numPr>
          <w:ilvl w:val="0"/>
          <w:numId w:val="0"/>
        </w:numPr>
      </w:pPr>
    </w:p>
    <w:p w:rsidR="008955D6" w:rsidRPr="008955D6" w:rsidRDefault="008955D6" w:rsidP="008955D6">
      <w:pPr>
        <w:pStyle w:val="4"/>
        <w:keepNext w:val="0"/>
        <w:widowControl w:val="0"/>
        <w:numPr>
          <w:ilvl w:val="0"/>
          <w:numId w:val="0"/>
        </w:numPr>
      </w:pPr>
      <w:r>
        <w:t xml:space="preserve">Таблица </w:t>
      </w:r>
      <w:r w:rsidRPr="008955D6">
        <w:t>1</w:t>
      </w:r>
    </w:p>
    <w:tbl>
      <w:tblPr>
        <w:tblW w:w="0" w:type="auto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2977"/>
        <w:gridCol w:w="5528"/>
      </w:tblGrid>
      <w:tr w:rsidR="008955D6" w:rsidRPr="008955D6" w:rsidTr="008955D6">
        <w:trPr>
          <w:trHeight w:val="289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Относите</w:t>
            </w:r>
            <w:bookmarkStart w:id="9" w:name="OCRUncertain137"/>
            <w:r w:rsidRPr="008955D6">
              <w:rPr>
                <w:rFonts w:cs="Times New Roman"/>
                <w:snapToGrid w:val="0"/>
                <w:sz w:val="24"/>
                <w:szCs w:val="24"/>
              </w:rPr>
              <w:t>л</w:t>
            </w:r>
            <w:bookmarkEnd w:id="9"/>
            <w:r w:rsidRPr="008955D6">
              <w:rPr>
                <w:rFonts w:cs="Times New Roman"/>
                <w:snapToGrid w:val="0"/>
                <w:sz w:val="24"/>
                <w:szCs w:val="24"/>
              </w:rPr>
              <w:t>ьная важность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Опред</w:t>
            </w:r>
            <w:bookmarkStart w:id="10" w:name="OCRUncertain138"/>
            <w:r w:rsidRPr="008955D6">
              <w:rPr>
                <w:rFonts w:cs="Times New Roman"/>
                <w:snapToGrid w:val="0"/>
                <w:sz w:val="24"/>
                <w:szCs w:val="24"/>
              </w:rPr>
              <w:t>е</w:t>
            </w:r>
            <w:bookmarkEnd w:id="10"/>
            <w:r w:rsidRPr="008955D6">
              <w:rPr>
                <w:rFonts w:cs="Times New Roman"/>
                <w:snapToGrid w:val="0"/>
                <w:sz w:val="24"/>
                <w:szCs w:val="24"/>
              </w:rPr>
              <w:t>ление</w:t>
            </w:r>
          </w:p>
        </w:tc>
        <w:tc>
          <w:tcPr>
            <w:tcW w:w="5528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Объяснения</w:t>
            </w:r>
          </w:p>
        </w:tc>
      </w:tr>
      <w:tr w:rsidR="008955D6" w:rsidRPr="008955D6" w:rsidTr="008955D6">
        <w:trPr>
          <w:cantSplit/>
          <w:trHeight w:val="65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pStyle w:val="1"/>
              <w:keepNext w:val="0"/>
              <w:numPr>
                <w:ilvl w:val="0"/>
                <w:numId w:val="0"/>
              </w:numPr>
              <w:jc w:val="both"/>
              <w:rPr>
                <w:b w:val="0"/>
                <w:sz w:val="24"/>
                <w:szCs w:val="24"/>
              </w:rPr>
            </w:pPr>
            <w:r w:rsidRPr="008955D6">
              <w:rPr>
                <w:b w:val="0"/>
                <w:sz w:val="24"/>
                <w:szCs w:val="24"/>
              </w:rPr>
              <w:t>Равная важность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Равный вклад двух видов деятельности в цель</w:t>
            </w:r>
          </w:p>
        </w:tc>
      </w:tr>
      <w:tr w:rsidR="008955D6" w:rsidRPr="008955D6" w:rsidTr="008955D6">
        <w:trPr>
          <w:cantSplit/>
          <w:trHeight w:val="144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Умеренное превосходство одного над другим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Опыт и суждения дают легкое превосходство одному виду деятельности над другим</w:t>
            </w:r>
          </w:p>
        </w:tc>
      </w:tr>
      <w:tr w:rsidR="008955D6" w:rsidRPr="008955D6" w:rsidTr="008955D6">
        <w:trPr>
          <w:cantSplit/>
          <w:trHeight w:val="280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Существенное или сильное превосходство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Опыт и суждения дают сильное превосходство одному виду деятельности над другим</w:t>
            </w:r>
          </w:p>
        </w:tc>
      </w:tr>
      <w:tr w:rsidR="008955D6" w:rsidRPr="008955D6" w:rsidTr="008955D6">
        <w:trPr>
          <w:cantSplit/>
          <w:trHeight w:val="699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Значительное превосходство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Одному виду деятельности дается настолько сильное превосходство, что оно становится практически значительным</w:t>
            </w:r>
          </w:p>
        </w:tc>
      </w:tr>
      <w:tr w:rsidR="008955D6" w:rsidRPr="008955D6" w:rsidTr="008955D6">
        <w:trPr>
          <w:cantSplit/>
          <w:trHeight w:val="428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Очень сильное превосходство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Очевидность превосходства одного вида деятельности над другим подтверждается наиболее сильно</w:t>
            </w:r>
          </w:p>
        </w:tc>
      </w:tr>
      <w:tr w:rsidR="008955D6" w:rsidRPr="008955D6" w:rsidTr="008955D6">
        <w:trPr>
          <w:cantSplit/>
          <w:trHeight w:val="840"/>
        </w:trPr>
        <w:tc>
          <w:tcPr>
            <w:tcW w:w="1701" w:type="dxa"/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2, 4, 6, 8</w:t>
            </w:r>
          </w:p>
        </w:tc>
        <w:tc>
          <w:tcPr>
            <w:tcW w:w="2977" w:type="dxa"/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Промежуточные решения между двумя соседними суждениями</w:t>
            </w:r>
          </w:p>
        </w:tc>
        <w:tc>
          <w:tcPr>
            <w:tcW w:w="5528" w:type="dxa"/>
            <w:tcBorders>
              <w:bottom w:val="single" w:sz="6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Применяются в компромиссном случае</w:t>
            </w:r>
          </w:p>
        </w:tc>
      </w:tr>
      <w:tr w:rsidR="008955D6" w:rsidRPr="008955D6" w:rsidTr="008955D6">
        <w:trPr>
          <w:cantSplit/>
          <w:trHeight w:val="580"/>
        </w:trPr>
        <w:tc>
          <w:tcPr>
            <w:tcW w:w="1701" w:type="dxa"/>
            <w:tcBorders>
              <w:right w:val="nil"/>
            </w:tcBorders>
          </w:tcPr>
          <w:p w:rsidR="008955D6" w:rsidRPr="008955D6" w:rsidRDefault="008955D6" w:rsidP="008955D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Обратные величины приведенных ранее чисел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5D6" w:rsidRPr="008955D6" w:rsidRDefault="008955D6" w:rsidP="008955D6">
            <w:pPr>
              <w:widowControl w:val="0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8955D6">
              <w:rPr>
                <w:rFonts w:cs="Times New Roman"/>
                <w:snapToGrid w:val="0"/>
                <w:sz w:val="24"/>
                <w:szCs w:val="24"/>
              </w:rPr>
              <w:t>Если при сравнении одного вида деятельности с другим получено одно из ранее указанных чисел (например 3), то при сравнении второго вида деятельности с первым получим обратную величину (т. е. 1/3)</w:t>
            </w:r>
          </w:p>
        </w:tc>
      </w:tr>
    </w:tbl>
    <w:p w:rsid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8955D6" w:rsidRP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 xml:space="preserve">5. После проведения всех парных сравнений для элементов соседних уровней (получения набора матриц) следует вычислить весовые коэффициенты дуг. Для каждой из матриц </w:t>
      </w:r>
      <w:r w:rsidRPr="008955D6">
        <w:rPr>
          <w:rFonts w:ascii="Times New Roman" w:hAnsi="Times New Roman"/>
          <w:i/>
          <w:sz w:val="28"/>
          <w:szCs w:val="28"/>
          <w:lang w:val="en-US"/>
        </w:rPr>
        <w:t>N</w:t>
      </w:r>
      <w:r w:rsidRPr="008955D6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 определяется нормализованный вектор локальных приоритетов, со следующими компонентами:</w:t>
      </w:r>
    </w:p>
    <w:p w:rsidR="008955D6" w:rsidRPr="008955D6" w:rsidRDefault="008955D6" w:rsidP="008955D6">
      <w:pPr>
        <w:widowControl w:val="0"/>
        <w:ind w:left="3540"/>
        <w:jc w:val="center"/>
        <w:rPr>
          <w:rFonts w:cs="Times New Roman"/>
          <w:snapToGrid w:val="0"/>
          <w:szCs w:val="28"/>
        </w:rPr>
      </w:pPr>
      <w:r>
        <w:rPr>
          <w:rFonts w:cs="Times New Roman"/>
          <w:noProof/>
          <w:szCs w:val="28"/>
        </w:rPr>
        <w:lastRenderedPageBreak/>
        <w:t xml:space="preserve">      </w:t>
      </w:r>
      <w:r w:rsidRPr="008955D6">
        <w:rPr>
          <w:rFonts w:cs="Times New Roman"/>
          <w:noProof/>
          <w:position w:val="-30"/>
          <w:szCs w:val="28"/>
        </w:rPr>
        <w:object w:dxaOrig="13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38.4pt" o:ole="" fillcolor="window">
            <v:imagedata r:id="rId8" o:title=""/>
          </v:shape>
          <o:OLEObject Type="Embed" ProgID="Equation.3" ShapeID="_x0000_i1025" DrawAspect="Content" ObjectID="_1676658180" r:id="rId9"/>
        </w:object>
      </w:r>
      <w:r w:rsidRPr="008955D6">
        <w:rPr>
          <w:rFonts w:cs="Times New Roman"/>
          <w:noProof/>
          <w:szCs w:val="28"/>
        </w:rPr>
        <w:t xml:space="preserve">                                      </w:t>
      </w:r>
      <w:r>
        <w:rPr>
          <w:rFonts w:cs="Times New Roman"/>
          <w:noProof/>
          <w:szCs w:val="28"/>
        </w:rPr>
        <w:t xml:space="preserve">   </w:t>
      </w:r>
      <w:r w:rsidRPr="008955D6">
        <w:rPr>
          <w:rFonts w:cs="Times New Roman"/>
          <w:noProof/>
          <w:szCs w:val="28"/>
        </w:rPr>
        <w:t xml:space="preserve">   </w:t>
      </w:r>
      <w:r>
        <w:rPr>
          <w:rFonts w:cs="Times New Roman"/>
          <w:noProof/>
          <w:szCs w:val="28"/>
        </w:rPr>
        <w:t>(</w:t>
      </w:r>
      <w:r w:rsidRPr="008955D6">
        <w:rPr>
          <w:rFonts w:cs="Times New Roman"/>
          <w:noProof/>
          <w:szCs w:val="28"/>
        </w:rPr>
        <w:t>1)</w:t>
      </w:r>
    </w:p>
    <w:p w:rsidR="008955D6" w:rsidRDefault="008955D6" w:rsidP="008955D6">
      <w:pPr>
        <w:widowControl w:val="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где </w:t>
      </w:r>
      <w:r w:rsidRPr="008955D6">
        <w:rPr>
          <w:rFonts w:cs="Times New Roman"/>
          <w:i/>
          <w:snapToGrid w:val="0"/>
          <w:szCs w:val="28"/>
          <w:lang w:val="en-US"/>
        </w:rPr>
        <w:t>n</w:t>
      </w:r>
      <w:r w:rsidRPr="008955D6">
        <w:rPr>
          <w:rFonts w:cs="Times New Roman"/>
          <w:snapToGrid w:val="0"/>
          <w:szCs w:val="28"/>
        </w:rPr>
        <w:t xml:space="preserve"> </w:t>
      </w:r>
      <w:r w:rsidRPr="008955D6">
        <w:rPr>
          <w:rFonts w:cs="Times New Roman"/>
          <w:szCs w:val="28"/>
          <w:lang w:val="en-US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размерность матрицы; </w:t>
      </w:r>
      <w:r w:rsidRPr="008955D6">
        <w:rPr>
          <w:rFonts w:cs="Times New Roman"/>
          <w:i/>
          <w:iCs/>
          <w:snapToGrid w:val="0"/>
          <w:szCs w:val="28"/>
          <w:lang w:val="en-US"/>
        </w:rPr>
        <w:t>a</w:t>
      </w:r>
      <w:r w:rsidRPr="008955D6">
        <w:rPr>
          <w:rFonts w:cs="Times New Roman"/>
          <w:i/>
          <w:snapToGrid w:val="0"/>
          <w:szCs w:val="28"/>
          <w:vertAlign w:val="subscript"/>
          <w:lang w:val="en-US"/>
        </w:rPr>
        <w:t>ji</w:t>
      </w:r>
      <w:r>
        <w:rPr>
          <w:rFonts w:cs="Times New Roman"/>
          <w:snapToGrid w:val="0"/>
          <w:szCs w:val="28"/>
        </w:rPr>
        <w:t xml:space="preserve"> </w:t>
      </w:r>
      <w:r w:rsidRPr="008955D6">
        <w:rPr>
          <w:rFonts w:cs="Times New Roman"/>
          <w:szCs w:val="28"/>
          <w:lang w:val="en-US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элемент </w:t>
      </w:r>
      <w:r w:rsidRPr="008955D6">
        <w:rPr>
          <w:rFonts w:cs="Times New Roman"/>
          <w:i/>
          <w:snapToGrid w:val="0"/>
          <w:szCs w:val="28"/>
          <w:lang w:val="en-US"/>
        </w:rPr>
        <w:t>j</w:t>
      </w:r>
      <w:r w:rsidRPr="008955D6">
        <w:rPr>
          <w:rFonts w:cs="Times New Roman"/>
          <w:snapToGrid w:val="0"/>
          <w:szCs w:val="28"/>
        </w:rPr>
        <w:t>-ой строки матрицы. Таким образом, мат</w:t>
      </w:r>
    </w:p>
    <w:p w:rsidR="008955D6" w:rsidRPr="008955D6" w:rsidRDefault="008955D6" w:rsidP="008955D6">
      <w:pPr>
        <w:widowControl w:val="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рице </w:t>
      </w:r>
      <w:r w:rsidRPr="008955D6">
        <w:rPr>
          <w:rFonts w:cs="Times New Roman"/>
          <w:i/>
          <w:szCs w:val="28"/>
          <w:lang w:val="en-US"/>
        </w:rPr>
        <w:t>N</w:t>
      </w:r>
      <w:r w:rsidRPr="008955D6">
        <w:rPr>
          <w:rFonts w:cs="Times New Roman"/>
          <w:i/>
          <w:szCs w:val="28"/>
          <w:vertAlign w:val="subscript"/>
          <w:lang w:val="en-US"/>
        </w:rPr>
        <w:t>i</w:t>
      </w:r>
      <w:r w:rsidRPr="008955D6">
        <w:rPr>
          <w:rFonts w:cs="Times New Roman"/>
          <w:snapToGrid w:val="0"/>
          <w:szCs w:val="28"/>
        </w:rPr>
        <w:t xml:space="preserve"> сопоставляется вектор </w:t>
      </w:r>
      <w:r w:rsidRPr="00456EDC">
        <w:rPr>
          <w:rFonts w:cs="Times New Roman"/>
          <w:i/>
          <w:snapToGrid w:val="0"/>
          <w:szCs w:val="28"/>
          <w:lang w:val="en-US"/>
        </w:rPr>
        <w:t>a</w:t>
      </w:r>
      <w:r w:rsidRPr="00456EDC">
        <w:rPr>
          <w:rFonts w:cs="Times New Roman"/>
          <w:i/>
          <w:snapToGrid w:val="0"/>
          <w:szCs w:val="28"/>
          <w:vertAlign w:val="subscript"/>
          <w:lang w:val="en-US"/>
        </w:rPr>
        <w:t>i</w:t>
      </w:r>
      <w:r w:rsidRPr="00456EDC">
        <w:rPr>
          <w:rFonts w:cs="Times New Roman"/>
          <w:snapToGrid w:val="0"/>
          <w:szCs w:val="28"/>
        </w:rPr>
        <w:t xml:space="preserve"> </w:t>
      </w:r>
      <w:r w:rsidRPr="008955D6">
        <w:rPr>
          <w:rFonts w:cs="Times New Roman"/>
          <w:snapToGrid w:val="0"/>
          <w:szCs w:val="28"/>
        </w:rPr>
        <w:t>.</w:t>
      </w:r>
    </w:p>
    <w:p w:rsid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8955D6" w:rsidRP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 xml:space="preserve">Нормирование компонент осуществляется путем деления каждой компоненты вектора </w:t>
      </w:r>
      <w:r w:rsidRPr="008955D6">
        <w:rPr>
          <w:rFonts w:ascii="Times New Roman" w:hAnsi="Times New Roman"/>
          <w:b/>
          <w:i/>
          <w:sz w:val="28"/>
          <w:szCs w:val="28"/>
          <w:lang w:val="en-US"/>
        </w:rPr>
        <w:t>a</w:t>
      </w:r>
      <w:r w:rsidRPr="008955D6">
        <w:rPr>
          <w:rFonts w:ascii="Times New Roman" w:hAnsi="Times New Roman"/>
          <w:b/>
          <w:i/>
          <w:sz w:val="28"/>
          <w:szCs w:val="28"/>
          <w:vertAlign w:val="subscript"/>
          <w:lang w:val="en-US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 на сумму всех компонент этого вектора: </w:t>
      </w:r>
    </w:p>
    <w:p w:rsidR="008955D6" w:rsidRPr="008955D6" w:rsidRDefault="00456EDC" w:rsidP="008955D6">
      <w:pPr>
        <w:pStyle w:val="21"/>
        <w:widowControl w:val="0"/>
        <w:ind w:left="3540" w:firstLine="708"/>
        <w:jc w:val="center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noProof/>
          <w:position w:val="-66"/>
          <w:sz w:val="28"/>
          <w:szCs w:val="28"/>
        </w:rPr>
        <w:object w:dxaOrig="1300" w:dyaOrig="1160">
          <v:shape id="_x0000_i1026" type="#_x0000_t75" style="width:77.4pt;height:52.2pt" o:ole="" fillcolor="window">
            <v:imagedata r:id="rId10" o:title=""/>
          </v:shape>
          <o:OLEObject Type="Embed" ProgID="Equation.3" ShapeID="_x0000_i1026" DrawAspect="Content" ObjectID="_1676658181" r:id="rId11"/>
        </w:object>
      </w:r>
      <w:r w:rsidR="008955D6" w:rsidRPr="008955D6">
        <w:rPr>
          <w:rFonts w:ascii="Times New Roman" w:hAnsi="Times New Roman"/>
          <w:noProof/>
          <w:sz w:val="28"/>
          <w:szCs w:val="28"/>
        </w:rPr>
        <w:t xml:space="preserve">                    </w:t>
      </w:r>
      <w:r w:rsidR="008955D6">
        <w:rPr>
          <w:rFonts w:ascii="Times New Roman" w:hAnsi="Times New Roman"/>
          <w:noProof/>
          <w:sz w:val="28"/>
          <w:szCs w:val="28"/>
        </w:rPr>
        <w:t xml:space="preserve">                             (</w:t>
      </w:r>
      <w:r w:rsidR="008955D6" w:rsidRPr="008955D6">
        <w:rPr>
          <w:rFonts w:ascii="Times New Roman" w:hAnsi="Times New Roman"/>
          <w:noProof/>
          <w:sz w:val="28"/>
          <w:szCs w:val="28"/>
        </w:rPr>
        <w:t>2)</w:t>
      </w:r>
    </w:p>
    <w:p w:rsidR="008955D6" w:rsidRP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 xml:space="preserve">Нормированный вектор </w:t>
      </w:r>
      <w:r w:rsidRPr="00456EDC">
        <w:rPr>
          <w:rFonts w:ascii="Times New Roman" w:hAnsi="Times New Roman"/>
          <w:i/>
          <w:sz w:val="28"/>
          <w:szCs w:val="28"/>
        </w:rPr>
        <w:t>b</w:t>
      </w:r>
      <w:r w:rsidRPr="00456EDC">
        <w:rPr>
          <w:rFonts w:ascii="Times New Roman" w:hAnsi="Times New Roman"/>
          <w:i/>
          <w:sz w:val="28"/>
          <w:szCs w:val="28"/>
          <w:vertAlign w:val="subscript"/>
        </w:rPr>
        <w:t>i</w:t>
      </w:r>
      <w:r w:rsidRPr="008955D6">
        <w:rPr>
          <w:rFonts w:ascii="Times New Roman" w:hAnsi="Times New Roman"/>
          <w:i/>
          <w:sz w:val="28"/>
          <w:szCs w:val="28"/>
          <w:vertAlign w:val="subscript"/>
        </w:rPr>
        <w:t xml:space="preserve"> </w:t>
      </w:r>
      <w:r w:rsidRPr="008955D6">
        <w:rPr>
          <w:rFonts w:ascii="Times New Roman" w:hAnsi="Times New Roman"/>
          <w:sz w:val="28"/>
          <w:szCs w:val="28"/>
        </w:rPr>
        <w:t xml:space="preserve"> соответствует весовым коэффициентам дуг, соединяющих </w:t>
      </w:r>
      <w:r w:rsidRPr="008955D6">
        <w:rPr>
          <w:rFonts w:ascii="Times New Roman" w:hAnsi="Times New Roman"/>
          <w:i/>
          <w:sz w:val="28"/>
          <w:szCs w:val="28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-й элемент предыдущего уровня со всеми элементами следующего уровня. Если ввести в рассмотрение матрицу влияний элементов нижнего уровня на элементы предыдущего уровня </w:t>
      </w:r>
      <w:r w:rsidRPr="008955D6">
        <w:rPr>
          <w:rFonts w:ascii="Times New Roman" w:hAnsi="Times New Roman"/>
          <w:i/>
          <w:sz w:val="28"/>
          <w:szCs w:val="28"/>
        </w:rPr>
        <w:t>B</w:t>
      </w:r>
      <w:r w:rsidRPr="008955D6">
        <w:rPr>
          <w:rFonts w:ascii="Times New Roman" w:hAnsi="Times New Roman"/>
          <w:i/>
          <w:sz w:val="28"/>
          <w:szCs w:val="28"/>
          <w:vertAlign w:val="subscript"/>
        </w:rPr>
        <w:t>l</w:t>
      </w:r>
      <w:r w:rsidRPr="008955D6">
        <w:rPr>
          <w:rFonts w:ascii="Times New Roman" w:hAnsi="Times New Roman"/>
          <w:sz w:val="28"/>
          <w:szCs w:val="28"/>
        </w:rPr>
        <w:t xml:space="preserve">, где </w:t>
      </w:r>
      <w:r w:rsidRPr="008955D6">
        <w:rPr>
          <w:rFonts w:ascii="Times New Roman" w:hAnsi="Times New Roman"/>
          <w:i/>
          <w:sz w:val="28"/>
          <w:szCs w:val="28"/>
          <w:lang w:val="en-US"/>
        </w:rPr>
        <w:t>l</w:t>
      </w:r>
      <w:r w:rsidRPr="008955D6">
        <w:rPr>
          <w:rFonts w:ascii="Times New Roman" w:hAnsi="Times New Roman"/>
          <w:sz w:val="28"/>
          <w:szCs w:val="28"/>
        </w:rPr>
        <w:t xml:space="preserve"> </w:t>
      </w:r>
      <w:r w:rsidRPr="008955D6">
        <w:rPr>
          <w:rFonts w:ascii="Times New Roman" w:hAnsi="Times New Roman"/>
          <w:sz w:val="28"/>
          <w:szCs w:val="28"/>
          <w:lang w:val="en-US"/>
        </w:rPr>
        <w:sym w:font="Symbol" w:char="F02D"/>
      </w:r>
      <w:r w:rsidRPr="008955D6">
        <w:rPr>
          <w:rFonts w:ascii="Times New Roman" w:hAnsi="Times New Roman"/>
          <w:sz w:val="28"/>
          <w:szCs w:val="28"/>
        </w:rPr>
        <w:t xml:space="preserve"> номер уровня иерархии, то векторы </w:t>
      </w:r>
      <w:r w:rsidRPr="008955D6">
        <w:rPr>
          <w:rFonts w:ascii="Times New Roman" w:hAnsi="Times New Roman"/>
          <w:b/>
          <w:i/>
          <w:sz w:val="28"/>
          <w:szCs w:val="28"/>
        </w:rPr>
        <w:t>b</w:t>
      </w:r>
      <w:r w:rsidRPr="008955D6">
        <w:rPr>
          <w:rFonts w:ascii="Times New Roman" w:hAnsi="Times New Roman"/>
          <w:b/>
          <w:i/>
          <w:sz w:val="28"/>
          <w:szCs w:val="28"/>
          <w:vertAlign w:val="subscript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 будут являться ее столбцами.</w:t>
      </w: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zCs w:val="28"/>
        </w:rPr>
        <w:t xml:space="preserve">6. После получения данных (обработки матриц суждений </w:t>
      </w:r>
      <w:r w:rsidRPr="008955D6">
        <w:rPr>
          <w:rFonts w:cs="Times New Roman"/>
          <w:i/>
          <w:szCs w:val="28"/>
        </w:rPr>
        <w:t>N</w:t>
      </w:r>
      <w:r w:rsidRPr="008955D6">
        <w:rPr>
          <w:rFonts w:cs="Times New Roman"/>
          <w:i/>
          <w:szCs w:val="28"/>
          <w:vertAlign w:val="subscript"/>
        </w:rPr>
        <w:t>i</w:t>
      </w:r>
      <w:r w:rsidRPr="008955D6">
        <w:rPr>
          <w:rFonts w:cs="Times New Roman"/>
          <w:szCs w:val="28"/>
        </w:rPr>
        <w:t xml:space="preserve"> по форму</w:t>
      </w:r>
      <w:r>
        <w:rPr>
          <w:rFonts w:cs="Times New Roman"/>
          <w:szCs w:val="28"/>
        </w:rPr>
        <w:t>лам (1) и (</w:t>
      </w:r>
      <w:r w:rsidRPr="008955D6">
        <w:rPr>
          <w:rFonts w:cs="Times New Roman"/>
          <w:szCs w:val="28"/>
        </w:rPr>
        <w:t>2)) следует определить их согласованность. Степень согласованности для каждой матрицы приближенно вычисляется следующим способом</w:t>
      </w:r>
      <w:r w:rsidRPr="008955D6">
        <w:rPr>
          <w:rFonts w:cs="Times New Roman"/>
          <w:snapToGrid w:val="0"/>
          <w:szCs w:val="28"/>
        </w:rPr>
        <w:t xml:space="preserve">: суммируется каждый столбец матрицы суждений, и сумма первого столбца умножается на величину первой компоненты нормализованного вектора приоритетов, сумма второго столбца </w:t>
      </w:r>
      <w:r w:rsidRPr="008955D6">
        <w:rPr>
          <w:rFonts w:cs="Times New Roman"/>
          <w:szCs w:val="28"/>
          <w:lang w:val="en-US"/>
        </w:rPr>
        <w:sym w:font="Symbol" w:char="F02D"/>
      </w:r>
      <w:r w:rsidRPr="008955D6">
        <w:rPr>
          <w:rFonts w:cs="Times New Roman"/>
          <w:snapToGrid w:val="0"/>
          <w:szCs w:val="28"/>
        </w:rPr>
        <w:t xml:space="preserve"> на вторую компоненту и т. д. Полученные числа суммируются и получается величина</w:t>
      </w:r>
    </w:p>
    <w:p w:rsidR="008955D6" w:rsidRPr="008955D6" w:rsidRDefault="008955D6" w:rsidP="008955D6">
      <w:pPr>
        <w:widowControl w:val="0"/>
        <w:ind w:left="2832" w:firstLine="708"/>
        <w:jc w:val="center"/>
        <w:rPr>
          <w:rFonts w:cs="Times New Roman"/>
          <w:snapToGrid w:val="0"/>
          <w:szCs w:val="28"/>
        </w:rPr>
      </w:pPr>
      <w:r w:rsidRPr="008955D6">
        <w:rPr>
          <w:rFonts w:cs="Times New Roman"/>
          <w:noProof/>
          <w:position w:val="-44"/>
          <w:szCs w:val="28"/>
        </w:rPr>
        <w:object w:dxaOrig="2540" w:dyaOrig="1020">
          <v:shape id="_x0000_i1027" type="#_x0000_t75" style="width:159pt;height:48pt" o:ole="" fillcolor="window">
            <v:imagedata r:id="rId12" o:title=""/>
          </v:shape>
          <o:OLEObject Type="Embed" ProgID="Equation.3" ShapeID="_x0000_i1027" DrawAspect="Content" ObjectID="_1676658182" r:id="rId13"/>
        </w:object>
      </w:r>
      <w:r w:rsidRPr="008955D6">
        <w:rPr>
          <w:rFonts w:cs="Times New Roman"/>
          <w:noProof/>
          <w:szCs w:val="28"/>
        </w:rPr>
        <w:t xml:space="preserve">       </w:t>
      </w:r>
      <w:r>
        <w:rPr>
          <w:rFonts w:cs="Times New Roman"/>
          <w:noProof/>
          <w:szCs w:val="28"/>
        </w:rPr>
        <w:t xml:space="preserve">                             (</w:t>
      </w:r>
      <w:r w:rsidRPr="008955D6">
        <w:rPr>
          <w:rFonts w:cs="Times New Roman"/>
          <w:noProof/>
          <w:szCs w:val="28"/>
        </w:rPr>
        <w:t>3)</w:t>
      </w:r>
    </w:p>
    <w:p w:rsidR="008955D6" w:rsidRDefault="008955D6" w:rsidP="008955D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Используя отклонение </w:t>
      </w:r>
      <w:r w:rsidRPr="008955D6">
        <w:rPr>
          <w:rFonts w:cs="Times New Roman"/>
          <w:snapToGrid w:val="0"/>
          <w:position w:val="-12"/>
          <w:szCs w:val="28"/>
        </w:rPr>
        <w:object w:dxaOrig="639" w:dyaOrig="380">
          <v:shape id="_x0000_i1028" type="#_x0000_t75" style="width:32.4pt;height:18.6pt" o:ole="">
            <v:imagedata r:id="rId14" o:title=""/>
          </v:shape>
          <o:OLEObject Type="Embed" ProgID="Equation.DSMT4" ShapeID="_x0000_i1028" DrawAspect="Content" ObjectID="_1676658183" r:id="rId15"/>
        </w:object>
      </w:r>
      <w:r w:rsidRPr="008955D6">
        <w:rPr>
          <w:rFonts w:cs="Times New Roman"/>
          <w:snapToGrid w:val="0"/>
          <w:szCs w:val="28"/>
        </w:rPr>
        <w:t xml:space="preserve"> от </w:t>
      </w:r>
      <w:bookmarkStart w:id="11" w:name="OCRUncertain535"/>
      <w:r w:rsidRPr="008955D6">
        <w:rPr>
          <w:rFonts w:cs="Times New Roman"/>
          <w:i/>
          <w:snapToGrid w:val="0"/>
          <w:szCs w:val="28"/>
        </w:rPr>
        <w:t>n</w:t>
      </w:r>
      <w:r w:rsidRPr="008955D6">
        <w:rPr>
          <w:rFonts w:cs="Times New Roman"/>
          <w:snapToGrid w:val="0"/>
          <w:szCs w:val="28"/>
        </w:rPr>
        <w:t>,</w:t>
      </w:r>
      <w:bookmarkEnd w:id="11"/>
      <w:r w:rsidRPr="008955D6">
        <w:rPr>
          <w:rFonts w:cs="Times New Roman"/>
          <w:snapToGrid w:val="0"/>
          <w:szCs w:val="28"/>
        </w:rPr>
        <w:t xml:space="preserve"> находят индекс согласованности (ИС), сравнивая который с соответствующими средними значениями для случайных элементов, получают отноше</w:t>
      </w:r>
      <w:r w:rsidR="005872B6">
        <w:rPr>
          <w:rFonts w:cs="Times New Roman"/>
          <w:snapToGrid w:val="0"/>
          <w:szCs w:val="28"/>
        </w:rPr>
        <w:t>ние согласованности (ОС)</w:t>
      </w:r>
      <w:r w:rsidRPr="008955D6">
        <w:rPr>
          <w:rFonts w:cs="Times New Roman"/>
          <w:snapToGrid w:val="0"/>
          <w:szCs w:val="28"/>
        </w:rPr>
        <w:t>.</w:t>
      </w:r>
    </w:p>
    <w:p w:rsidR="00B15E0B" w:rsidRDefault="00B15E0B" w:rsidP="005872B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</w:p>
    <w:p w:rsidR="005872B6" w:rsidRPr="008955D6" w:rsidRDefault="005872B6" w:rsidP="005872B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Средние согласованности для случайных матриц различного порядка</w:t>
      </w:r>
    </w:p>
    <w:tbl>
      <w:tblPr>
        <w:tblW w:w="0" w:type="auto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3701"/>
        <w:gridCol w:w="462"/>
        <w:gridCol w:w="463"/>
        <w:gridCol w:w="617"/>
        <w:gridCol w:w="617"/>
        <w:gridCol w:w="617"/>
        <w:gridCol w:w="617"/>
        <w:gridCol w:w="660"/>
        <w:gridCol w:w="756"/>
        <w:gridCol w:w="756"/>
        <w:gridCol w:w="757"/>
      </w:tblGrid>
      <w:tr w:rsidR="005872B6" w:rsidRPr="008955D6" w:rsidTr="005872B6">
        <w:trPr>
          <w:trHeight w:hRule="exact" w:val="312"/>
        </w:trPr>
        <w:tc>
          <w:tcPr>
            <w:tcW w:w="3701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Размер матрицы</w:t>
            </w:r>
          </w:p>
        </w:tc>
        <w:tc>
          <w:tcPr>
            <w:tcW w:w="462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463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6</w:t>
            </w:r>
          </w:p>
        </w:tc>
        <w:tc>
          <w:tcPr>
            <w:tcW w:w="660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7</w:t>
            </w:r>
          </w:p>
        </w:tc>
        <w:tc>
          <w:tcPr>
            <w:tcW w:w="756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8</w:t>
            </w:r>
          </w:p>
        </w:tc>
        <w:tc>
          <w:tcPr>
            <w:tcW w:w="756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9</w:t>
            </w:r>
          </w:p>
        </w:tc>
        <w:tc>
          <w:tcPr>
            <w:tcW w:w="75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5872B6" w:rsidRPr="008955D6" w:rsidTr="005872B6">
        <w:trPr>
          <w:trHeight w:hRule="exact" w:val="288"/>
        </w:trPr>
        <w:tc>
          <w:tcPr>
            <w:tcW w:w="3701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 xml:space="preserve">Случайная </w:t>
            </w:r>
            <w:r w:rsidRPr="005872B6">
              <w:rPr>
                <w:rFonts w:cs="Times New Roman"/>
                <w:snapToGrid w:val="0"/>
                <w:sz w:val="24"/>
                <w:szCs w:val="24"/>
                <w:lang w:val="en-US"/>
              </w:rPr>
              <w:t>c</w:t>
            </w:r>
            <w:r w:rsidRPr="005872B6">
              <w:rPr>
                <w:rFonts w:cs="Times New Roman"/>
                <w:snapToGrid w:val="0"/>
                <w:sz w:val="24"/>
                <w:szCs w:val="24"/>
              </w:rPr>
              <w:t>огласованность</w:t>
            </w:r>
          </w:p>
        </w:tc>
        <w:tc>
          <w:tcPr>
            <w:tcW w:w="462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0</w:t>
            </w:r>
          </w:p>
        </w:tc>
        <w:tc>
          <w:tcPr>
            <w:tcW w:w="463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0,58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0,90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1,12</w:t>
            </w:r>
          </w:p>
        </w:tc>
        <w:tc>
          <w:tcPr>
            <w:tcW w:w="61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1,24</w:t>
            </w:r>
          </w:p>
        </w:tc>
        <w:tc>
          <w:tcPr>
            <w:tcW w:w="660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1,32</w:t>
            </w:r>
          </w:p>
        </w:tc>
        <w:tc>
          <w:tcPr>
            <w:tcW w:w="756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1,41</w:t>
            </w:r>
          </w:p>
        </w:tc>
        <w:tc>
          <w:tcPr>
            <w:tcW w:w="756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1,45</w:t>
            </w:r>
          </w:p>
        </w:tc>
        <w:tc>
          <w:tcPr>
            <w:tcW w:w="757" w:type="dxa"/>
          </w:tcPr>
          <w:p w:rsidR="005872B6" w:rsidRPr="005872B6" w:rsidRDefault="005872B6" w:rsidP="005872B6">
            <w:pPr>
              <w:widowControl w:val="0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5872B6">
              <w:rPr>
                <w:rFonts w:cs="Times New Roman"/>
                <w:snapToGrid w:val="0"/>
                <w:sz w:val="24"/>
                <w:szCs w:val="24"/>
              </w:rPr>
              <w:t>1,49</w:t>
            </w:r>
          </w:p>
        </w:tc>
      </w:tr>
    </w:tbl>
    <w:p w:rsidR="005872B6" w:rsidRDefault="005872B6" w:rsidP="008955D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</w:p>
    <w:p w:rsidR="008955D6" w:rsidRPr="008955D6" w:rsidRDefault="008955D6" w:rsidP="008955D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7. Этапы 3, 4, 5 и 6 проводятся для всех уровней иер</w:t>
      </w:r>
      <w:bookmarkStart w:id="12" w:name="OCRUncertain536"/>
      <w:r w:rsidRPr="008955D6">
        <w:rPr>
          <w:rFonts w:cs="Times New Roman"/>
          <w:snapToGrid w:val="0"/>
          <w:szCs w:val="28"/>
        </w:rPr>
        <w:t>а</w:t>
      </w:r>
      <w:bookmarkEnd w:id="12"/>
      <w:r w:rsidRPr="008955D6">
        <w:rPr>
          <w:rFonts w:cs="Times New Roman"/>
          <w:snapToGrid w:val="0"/>
          <w:szCs w:val="28"/>
        </w:rPr>
        <w:t>рхии.</w:t>
      </w:r>
    </w:p>
    <w:p w:rsidR="008955D6" w:rsidRDefault="008955D6" w:rsidP="008955D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>8. Производится поэтапная оценка весовых коэффициентов элементов каждого следующего уровня иерархии:</w:t>
      </w:r>
    </w:p>
    <w:p w:rsidR="00B15E0B" w:rsidRPr="008955D6" w:rsidRDefault="00B15E0B" w:rsidP="008955D6">
      <w:pPr>
        <w:widowControl w:val="0"/>
        <w:ind w:firstLine="720"/>
        <w:jc w:val="both"/>
        <w:rPr>
          <w:rFonts w:cs="Times New Roman"/>
          <w:snapToGrid w:val="0"/>
          <w:szCs w:val="28"/>
        </w:rPr>
      </w:pPr>
    </w:p>
    <w:p w:rsidR="008955D6" w:rsidRPr="008955D6" w:rsidRDefault="008955D6" w:rsidP="00B15E0B">
      <w:pPr>
        <w:widowControl w:val="0"/>
        <w:jc w:val="center"/>
        <w:rPr>
          <w:rFonts w:cs="Times New Roman"/>
          <w:snapToGrid w:val="0"/>
          <w:szCs w:val="28"/>
        </w:rPr>
      </w:pPr>
      <w:r w:rsidRPr="008955D6">
        <w:rPr>
          <w:rFonts w:cs="Times New Roman"/>
          <w:b/>
          <w:bCs/>
          <w:i/>
          <w:snapToGrid w:val="0"/>
          <w:position w:val="-12"/>
          <w:szCs w:val="28"/>
          <w:lang w:val="en-US"/>
        </w:rPr>
        <w:object w:dxaOrig="1579" w:dyaOrig="380">
          <v:shape id="_x0000_i1029" type="#_x0000_t75" style="width:78.6pt;height:18.6pt" o:ole="">
            <v:imagedata r:id="rId16" o:title=""/>
          </v:shape>
          <o:OLEObject Type="Embed" ProgID="Equation.DSMT4" ShapeID="_x0000_i1029" DrawAspect="Content" ObjectID="_1676658184" r:id="rId17"/>
        </w:object>
      </w:r>
      <w:r w:rsidRPr="008955D6">
        <w:rPr>
          <w:rFonts w:cs="Times New Roman"/>
          <w:snapToGrid w:val="0"/>
          <w:szCs w:val="28"/>
        </w:rPr>
        <w:t xml:space="preserve">                  </w:t>
      </w:r>
      <w:r w:rsidR="00B15E0B">
        <w:rPr>
          <w:rFonts w:cs="Times New Roman"/>
          <w:snapToGrid w:val="0"/>
          <w:szCs w:val="28"/>
        </w:rPr>
        <w:t xml:space="preserve">                             </w:t>
      </w:r>
    </w:p>
    <w:p w:rsidR="00B15E0B" w:rsidRDefault="00B15E0B" w:rsidP="008955D6">
      <w:pPr>
        <w:pStyle w:val="21"/>
        <w:widowControl w:val="0"/>
        <w:ind w:firstLine="0"/>
        <w:jc w:val="both"/>
        <w:rPr>
          <w:rFonts w:ascii="Times New Roman" w:hAnsi="Times New Roman"/>
          <w:sz w:val="28"/>
          <w:szCs w:val="28"/>
        </w:rPr>
      </w:pPr>
    </w:p>
    <w:p w:rsidR="008955D6" w:rsidRPr="008955D6" w:rsidRDefault="008955D6" w:rsidP="008955D6">
      <w:pPr>
        <w:pStyle w:val="21"/>
        <w:widowControl w:val="0"/>
        <w:ind w:firstLine="0"/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 xml:space="preserve">где </w:t>
      </w:r>
      <w:r w:rsidRPr="008955D6">
        <w:rPr>
          <w:rFonts w:ascii="Times New Roman" w:hAnsi="Times New Roman"/>
          <w:bCs/>
          <w:i/>
          <w:sz w:val="28"/>
          <w:szCs w:val="28"/>
          <w:lang w:val="en-US"/>
        </w:rPr>
        <w:t>C</w:t>
      </w:r>
      <w:r w:rsidRPr="008955D6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8955D6">
        <w:rPr>
          <w:rFonts w:ascii="Times New Roman" w:hAnsi="Times New Roman"/>
          <w:sz w:val="28"/>
          <w:szCs w:val="28"/>
          <w:vertAlign w:val="subscript"/>
          <w:lang w:val="en-US"/>
        </w:rPr>
        <w:sym w:font="Symbol" w:char="F02D"/>
      </w:r>
      <w:r w:rsidRPr="008955D6">
        <w:rPr>
          <w:rFonts w:ascii="Times New Roman" w:hAnsi="Times New Roman"/>
          <w:sz w:val="28"/>
          <w:szCs w:val="28"/>
          <w:vertAlign w:val="subscript"/>
        </w:rPr>
        <w:t>1</w:t>
      </w:r>
      <w:r w:rsidRPr="008955D6">
        <w:rPr>
          <w:rFonts w:ascii="Times New Roman" w:hAnsi="Times New Roman"/>
          <w:sz w:val="28"/>
          <w:szCs w:val="28"/>
        </w:rPr>
        <w:t xml:space="preserve"> </w:t>
      </w:r>
      <w:r w:rsidRPr="008955D6">
        <w:rPr>
          <w:rFonts w:ascii="Times New Roman" w:hAnsi="Times New Roman"/>
          <w:sz w:val="28"/>
          <w:szCs w:val="28"/>
          <w:lang w:val="en-US"/>
        </w:rPr>
        <w:sym w:font="Symbol" w:char="F02D"/>
      </w:r>
      <w:r w:rsidRPr="008955D6">
        <w:rPr>
          <w:rFonts w:ascii="Times New Roman" w:hAnsi="Times New Roman"/>
          <w:sz w:val="28"/>
          <w:szCs w:val="28"/>
        </w:rPr>
        <w:t xml:space="preserve"> вектор весовых коэффициентов элементов предыдущего уровня, а </w:t>
      </w:r>
      <w:r w:rsidRPr="008955D6">
        <w:rPr>
          <w:rFonts w:ascii="Times New Roman" w:hAnsi="Times New Roman"/>
          <w:i/>
          <w:sz w:val="28"/>
          <w:szCs w:val="28"/>
        </w:rPr>
        <w:t>B</w:t>
      </w:r>
      <w:r w:rsidRPr="008955D6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 - матрица влияний элементов нижнего уровня на элементы предыдущего уровня, состоящая из век</w:t>
      </w:r>
      <w:r>
        <w:rPr>
          <w:rFonts w:ascii="Times New Roman" w:hAnsi="Times New Roman"/>
          <w:sz w:val="28"/>
          <w:szCs w:val="28"/>
        </w:rPr>
        <w:t>торов, полученных по формуле (</w:t>
      </w:r>
      <w:r w:rsidRPr="008955D6">
        <w:rPr>
          <w:rFonts w:ascii="Times New Roman" w:hAnsi="Times New Roman"/>
          <w:sz w:val="28"/>
          <w:szCs w:val="28"/>
        </w:rPr>
        <w:t xml:space="preserve">2); </w:t>
      </w:r>
      <w:r w:rsidRPr="008955D6">
        <w:rPr>
          <w:rFonts w:ascii="Times New Roman" w:hAnsi="Times New Roman"/>
          <w:i/>
          <w:sz w:val="28"/>
          <w:szCs w:val="28"/>
        </w:rPr>
        <w:t>i</w:t>
      </w:r>
      <w:r w:rsidRPr="008955D6">
        <w:rPr>
          <w:rFonts w:ascii="Times New Roman" w:hAnsi="Times New Roman"/>
          <w:sz w:val="28"/>
          <w:szCs w:val="28"/>
        </w:rPr>
        <w:t xml:space="preserve"> </w:t>
      </w:r>
      <w:r w:rsidRPr="008955D6">
        <w:rPr>
          <w:rFonts w:ascii="Times New Roman" w:hAnsi="Times New Roman"/>
          <w:sz w:val="28"/>
          <w:szCs w:val="28"/>
          <w:lang w:val="en-US"/>
        </w:rPr>
        <w:sym w:font="Symbol" w:char="F02D"/>
      </w:r>
      <w:r w:rsidRPr="008955D6">
        <w:rPr>
          <w:rFonts w:ascii="Times New Roman" w:hAnsi="Times New Roman"/>
          <w:sz w:val="28"/>
          <w:szCs w:val="28"/>
        </w:rPr>
        <w:t xml:space="preserve"> номер уровня иерархии. </w:t>
      </w:r>
    </w:p>
    <w:p w:rsid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</w:p>
    <w:p w:rsidR="008955D6" w:rsidRPr="008955D6" w:rsidRDefault="008955D6" w:rsidP="008955D6">
      <w:pPr>
        <w:widowControl w:val="0"/>
        <w:ind w:firstLine="567"/>
        <w:jc w:val="both"/>
        <w:rPr>
          <w:rFonts w:cs="Times New Roman"/>
          <w:snapToGrid w:val="0"/>
          <w:szCs w:val="28"/>
        </w:rPr>
      </w:pPr>
      <w:r w:rsidRPr="008955D6">
        <w:rPr>
          <w:rFonts w:cs="Times New Roman"/>
          <w:snapToGrid w:val="0"/>
          <w:szCs w:val="28"/>
        </w:rPr>
        <w:t xml:space="preserve">9. Согласованность всей иерархии можно найти, перемножая каждый индекс </w:t>
      </w:r>
      <w:r w:rsidRPr="008955D6">
        <w:rPr>
          <w:rFonts w:cs="Times New Roman"/>
          <w:snapToGrid w:val="0"/>
          <w:szCs w:val="28"/>
        </w:rPr>
        <w:lastRenderedPageBreak/>
        <w:t xml:space="preserve">согласованности на приоритет соответствующего критерия и суммируя полученные числа. Затем результат делится на выражение такого же типа, но со случайным индексом согласованности, соответствующим размерам каждой взвешенной приоритетами матрицы. Приемлемым является отношение согласованности около 10 % или менее. В противном случае качество суждений следует улучшить, изменив способ, следуя которому задаются вопросы при проведении парных сравнений. Если это не помогает улучшить согласованность, то, вероятно, задачу следует более точно структурировать, т. </w:t>
      </w:r>
      <w:bookmarkStart w:id="13" w:name="OCRUncertain537"/>
      <w:r w:rsidRPr="008955D6">
        <w:rPr>
          <w:rFonts w:cs="Times New Roman"/>
          <w:snapToGrid w:val="0"/>
          <w:szCs w:val="28"/>
        </w:rPr>
        <w:t>е.</w:t>
      </w:r>
      <w:bookmarkEnd w:id="13"/>
      <w:r w:rsidRPr="008955D6">
        <w:rPr>
          <w:rFonts w:cs="Times New Roman"/>
          <w:snapToGrid w:val="0"/>
          <w:szCs w:val="28"/>
        </w:rPr>
        <w:t xml:space="preserve"> сгруппировать аналогичные элементы под более значащими критериями. Потребуется возврат к этапу 2, хотя пересмотра могут потребовать только сомнительные части иерархии. </w:t>
      </w:r>
    </w:p>
    <w:p w:rsidR="008955D6" w:rsidRPr="008955D6" w:rsidRDefault="008955D6" w:rsidP="008955D6">
      <w:pPr>
        <w:pStyle w:val="21"/>
        <w:widowControl w:val="0"/>
        <w:jc w:val="both"/>
        <w:rPr>
          <w:rFonts w:ascii="Times New Roman" w:hAnsi="Times New Roman"/>
          <w:i/>
          <w:sz w:val="28"/>
          <w:szCs w:val="28"/>
        </w:rPr>
      </w:pPr>
      <w:r w:rsidRPr="008955D6">
        <w:rPr>
          <w:rFonts w:ascii="Times New Roman" w:hAnsi="Times New Roman"/>
          <w:b/>
          <w:i/>
          <w:sz w:val="28"/>
          <w:szCs w:val="28"/>
        </w:rPr>
        <w:t>Замечания:</w:t>
      </w:r>
      <w:r w:rsidRPr="008955D6">
        <w:rPr>
          <w:rFonts w:ascii="Times New Roman" w:hAnsi="Times New Roman"/>
          <w:i/>
          <w:sz w:val="28"/>
          <w:szCs w:val="28"/>
        </w:rPr>
        <w:t xml:space="preserve"> </w:t>
      </w:r>
    </w:p>
    <w:p w:rsidR="008955D6" w:rsidRPr="008955D6" w:rsidRDefault="008955D6" w:rsidP="008955D6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>1. При проведении оценок следует иметь в виду все сравниваемые элементы. Для получения обоснованных численных сравнений не следует сравнивать более чем 7</w:t>
      </w:r>
      <w:bookmarkStart w:id="14" w:name="OCRUncertain540"/>
      <w:r w:rsidRPr="008955D6">
        <w:rPr>
          <w:rFonts w:ascii="Times New Roman" w:hAnsi="Times New Roman"/>
          <w:sz w:val="28"/>
          <w:szCs w:val="28"/>
        </w:rPr>
        <w:t>±</w:t>
      </w:r>
      <w:bookmarkEnd w:id="14"/>
      <w:r w:rsidRPr="008955D6">
        <w:rPr>
          <w:rFonts w:ascii="Times New Roman" w:hAnsi="Times New Roman"/>
          <w:sz w:val="28"/>
          <w:szCs w:val="28"/>
        </w:rPr>
        <w:t>2 элементов, так как в таком случае погрешность, обусловленная приближенностью метода, мало меняет результат для каждой относительной величины. Для неполной иерархии, разделяемой на частичные иерархии, это условие обычно выполняется.</w:t>
      </w:r>
    </w:p>
    <w:p w:rsidR="008955D6" w:rsidRPr="008955D6" w:rsidRDefault="008955D6" w:rsidP="008955D6">
      <w:pPr>
        <w:pStyle w:val="21"/>
        <w:widowControl w:val="0"/>
        <w:tabs>
          <w:tab w:val="num" w:pos="1080"/>
        </w:tabs>
        <w:jc w:val="both"/>
        <w:rPr>
          <w:rFonts w:ascii="Times New Roman" w:hAnsi="Times New Roman"/>
          <w:sz w:val="28"/>
          <w:szCs w:val="28"/>
        </w:rPr>
      </w:pPr>
      <w:r w:rsidRPr="008955D6">
        <w:rPr>
          <w:rFonts w:ascii="Times New Roman" w:hAnsi="Times New Roman"/>
          <w:sz w:val="28"/>
          <w:szCs w:val="28"/>
        </w:rPr>
        <w:t>2. Работы с более широким классом объектов следует осуществлять посредством иерархической декомпозиции. Элементы группируются (в качестве первой оценки) в сравниваемые классы приблизительно из семи элементов в каждом. Элемент с наивысшим весом в классе также включается в следующий класс элементов с большими весами и как своеобразный стержень между двумя классами придает однородность шкале. Процедура повторяется многократно, пока все элементы не будут взвешены.</w:t>
      </w:r>
    </w:p>
    <w:p w:rsidR="008955D6" w:rsidRDefault="008955D6" w:rsidP="008955D6">
      <w:pPr>
        <w:pStyle w:val="25"/>
        <w:widowControl w:val="0"/>
        <w:spacing w:line="240" w:lineRule="auto"/>
        <w:ind w:firstLine="567"/>
        <w:jc w:val="both"/>
        <w:rPr>
          <w:b/>
          <w:snapToGrid w:val="0"/>
          <w:szCs w:val="28"/>
        </w:rPr>
      </w:pPr>
      <w:bookmarkStart w:id="15" w:name="_Toc442721666"/>
    </w:p>
    <w:bookmarkEnd w:id="15"/>
    <w:p w:rsidR="005872B6" w:rsidRDefault="005872B6" w:rsidP="008955D6">
      <w:pPr>
        <w:widowControl w:val="0"/>
        <w:jc w:val="both"/>
        <w:rPr>
          <w:rFonts w:cs="Times New Roman"/>
          <w:snapToGrid w:val="0"/>
          <w:szCs w:val="28"/>
        </w:rPr>
      </w:pPr>
    </w:p>
    <w:p w:rsidR="008955D6" w:rsidRPr="008955D6" w:rsidRDefault="008955D6" w:rsidP="005872B6">
      <w:pPr>
        <w:pStyle w:val="21"/>
        <w:widowControl w:val="0"/>
        <w:ind w:firstLine="0"/>
        <w:jc w:val="center"/>
        <w:rPr>
          <w:rFonts w:ascii="Times New Roman" w:hAnsi="Times New Roman"/>
          <w:bCs/>
          <w:i/>
          <w:sz w:val="28"/>
          <w:szCs w:val="28"/>
        </w:rPr>
      </w:pPr>
      <w:r w:rsidRPr="008955D6">
        <w:rPr>
          <w:rFonts w:ascii="Times New Roman" w:hAnsi="Times New Roman"/>
          <w:bCs/>
          <w:i/>
          <w:sz w:val="28"/>
          <w:szCs w:val="28"/>
        </w:rPr>
        <w:t>Сложная математика не может «улучшить» то,</w:t>
      </w:r>
    </w:p>
    <w:p w:rsidR="008955D6" w:rsidRPr="008955D6" w:rsidRDefault="008955D6" w:rsidP="005872B6">
      <w:pPr>
        <w:pStyle w:val="21"/>
        <w:widowControl w:val="0"/>
        <w:ind w:firstLine="0"/>
        <w:jc w:val="center"/>
        <w:rPr>
          <w:rFonts w:ascii="Times New Roman" w:hAnsi="Times New Roman"/>
          <w:bCs/>
          <w:i/>
          <w:sz w:val="28"/>
          <w:szCs w:val="28"/>
        </w:rPr>
      </w:pPr>
      <w:r w:rsidRPr="008955D6">
        <w:rPr>
          <w:rFonts w:ascii="Times New Roman" w:hAnsi="Times New Roman"/>
          <w:bCs/>
          <w:i/>
          <w:sz w:val="28"/>
          <w:szCs w:val="28"/>
        </w:rPr>
        <w:t>что ЛПР не хочет менять.</w:t>
      </w:r>
    </w:p>
    <w:p w:rsidR="00716792" w:rsidRDefault="00716792" w:rsidP="008955D6">
      <w:pPr>
        <w:widowControl w:val="0"/>
        <w:jc w:val="both"/>
        <w:rPr>
          <w:rFonts w:cs="Times New Roman"/>
          <w:b/>
          <w:szCs w:val="28"/>
        </w:rPr>
      </w:pPr>
    </w:p>
    <w:sectPr w:rsidR="00716792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E9B" w:rsidRDefault="00165E9B" w:rsidP="00620D7D">
      <w:r>
        <w:separator/>
      </w:r>
    </w:p>
  </w:endnote>
  <w:endnote w:type="continuationSeparator" w:id="0">
    <w:p w:rsidR="00165E9B" w:rsidRDefault="00165E9B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E9B" w:rsidRDefault="00165E9B" w:rsidP="00620D7D">
      <w:r>
        <w:separator/>
      </w:r>
    </w:p>
  </w:footnote>
  <w:footnote w:type="continuationSeparator" w:id="0">
    <w:p w:rsidR="00165E9B" w:rsidRDefault="00165E9B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 w15:restartNumberingAfterBreak="0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 w15:restartNumberingAfterBreak="0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 w15:restartNumberingAfterBreak="0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 w15:restartNumberingAfterBreak="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 w15:restartNumberingAfterBreak="0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 w15:restartNumberingAfterBreak="0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 w15:restartNumberingAfterBreak="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 w15:restartNumberingAfterBreak="0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 w15:restartNumberingAfterBreak="0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 w15:restartNumberingAfterBreak="0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 w15:restartNumberingAfterBreak="0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 w15:restartNumberingAfterBreak="0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 w15:restartNumberingAfterBreak="0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 w15:restartNumberingAfterBreak="0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 w15:restartNumberingAfterBreak="0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 w15:restartNumberingAfterBreak="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65E9B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2F3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773FA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37FA7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EF696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9206E-8F22-4E8D-8E38-EE9245179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4</Pages>
  <Words>1330</Words>
  <Characters>7583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134</cp:revision>
  <cp:lastPrinted>2015-11-17T14:33:00Z</cp:lastPrinted>
  <dcterms:created xsi:type="dcterms:W3CDTF">2013-01-12T07:10:00Z</dcterms:created>
  <dcterms:modified xsi:type="dcterms:W3CDTF">2021-03-07T14:43:00Z</dcterms:modified>
</cp:coreProperties>
</file>